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小标宋" w:eastAsia="小标宋"/>
          <w:color w:val="FF0000"/>
          <w:spacing w:val="160"/>
          <w:w w:val="85"/>
          <w:sz w:val="84"/>
          <w:szCs w:val="84"/>
        </w:rPr>
      </w:pPr>
      <w:r>
        <w:rPr>
          <w:rFonts w:hint="eastAsia" w:ascii="小标宋" w:eastAsia="小标宋"/>
          <w:color w:val="FF0000"/>
          <w:spacing w:val="160"/>
          <w:w w:val="85"/>
          <w:sz w:val="84"/>
          <w:szCs w:val="84"/>
        </w:rPr>
        <w:t>杭州市环境保护局</w:t>
      </w:r>
    </w:p>
    <w:p>
      <w:pPr>
        <w:spacing w:line="760" w:lineRule="exact"/>
        <w:jc w:val="center"/>
        <w:rPr>
          <w:rFonts w:hint="eastAsia" w:ascii="方正小标宋简体" w:hAnsi="仿宋" w:eastAsia="方正小标宋简体"/>
          <w:color w:val="000000" w:themeColor="text1"/>
          <w:sz w:val="44"/>
          <w:szCs w:val="44"/>
          <w14:textFill>
            <w14:solidFill>
              <w14:schemeClr w14:val="tx1"/>
            </w14:solidFill>
          </w14:textFill>
        </w:rPr>
      </w:pPr>
      <w:r>
        <w:rPr>
          <w:color w:val="FF0000"/>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79375</wp:posOffset>
                </wp:positionV>
                <wp:extent cx="5443855" cy="0"/>
                <wp:effectExtent l="0" t="28575" r="4445" b="28575"/>
                <wp:wrapNone/>
                <wp:docPr id="1" name="直接连接符 1"/>
                <wp:cNvGraphicFramePr/>
                <a:graphic xmlns:a="http://schemas.openxmlformats.org/drawingml/2006/main">
                  <a:graphicData uri="http://schemas.microsoft.com/office/word/2010/wordprocessingShape">
                    <wps:wsp>
                      <wps:cNvCnPr/>
                      <wps:spPr>
                        <a:xfrm>
                          <a:off x="0" y="0"/>
                          <a:ext cx="544385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6.25pt;height:0pt;width:428.65pt;z-index:251659264;mso-width-relative:page;mso-height-relative:page;" filled="f" stroked="t" coordsize="21600,21600" o:gfxdata="UEsDBAoAAAAAAIdO4kAAAAAAAAAAAAAAAAAEAAAAZHJzL1BLAwQUAAAACACHTuJA8zrz8tQAAAAJ&#10;AQAADwAAAGRycy9kb3ducmV2LnhtbE2PwU7DMAyG70i8Q+RJ3LakgcLUNd0BiTNs48Axa7y2WuNU&#10;Tbpub48RBzja/6ffn8vt1ffigmPsAhnIVgoEUh1cR42Bz8Pbcg0iJkvO9oHQwA0jbKv7u9IWLsy0&#10;w8s+NYJLKBbWQJvSUEgZ6xa9jaswIHF2CqO3icexkW60M5f7XmqlnqW3HfGF1g742mJ93k/ewNfL&#10;SGHevZ8+Hie6RT2cDzpXxjwsMrUBkfCa/mD40Wd1qNjpGCZyUfQGlpnWjHKgcxAMrJ/yDMTxdyGr&#10;Uv7/oPoGUEsDBBQAAAAIAIdO4kCd0Tg/4QEAAJ0DAAAOAAAAZHJzL2Uyb0RvYy54bWytU0uOEzEQ&#10;3SNxB8t70p1hAqNWOrOYEDYIIjEcoOJP28I/2Z50cgkugMQOVizZcxuGY1B2Mhk+G4ToRXXZVf2q&#10;3qvq+eXOGrIVMWnvejqdtJQIxzzXbujpm+vVowtKUgbHwXgneroXiV4uHj6Yj6ETZ155w0UkCOJS&#10;N4aeqpxD1zSJKWEhTXwQDoPSRwsZj3FoeIQR0a1pztr2STP6yEP0TKSEt8tDkC4qvpSC5VdSJpGJ&#10;6Sn2lquN1W6KbRZz6IYIQWl2bAP+oQsL2mHRE9QSMpCbqP+AsppFn7zME+Zt46XUTFQOyGba/sbm&#10;tYIgKhcUJ4WTTOn/wbKX23UkmuPsKHFgcUS37798e/fx+9cPaG8/fyLTItIYUoe5V24dj6cU1rEw&#10;3sloyxu5kF0Vdn8SVuwyYXg5Oz9/fDGbUcLuYs39hyGm/Fx4S4rTU6Nd4QwdbF+kjMUw9S6lXBtH&#10;RkR8Op3hPBngzkgDGV0bkEXGOb69VsdpJG80X2ljyocpDpsrE8kWcBdWqxafwgzhf0krtZaQ1CGv&#10;hg5bogTwZ46TvA+oksN1pqUTKzglRuD2Fw8Bocugzd9kYmnjsIMi7kHO4m083+NMbkLUg0JBqv41&#10;B3eg9nvc17JkP58r0v1ftf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zrz8tQAAAAJAQAADwAA&#10;AAAAAAABACAAAAAiAAAAZHJzL2Rvd25yZXYueG1sUEsBAhQAFAAAAAgAh07iQJ3ROD/hAQAAnQMA&#10;AA4AAAAAAAAAAQAgAAAAIwEAAGRycy9lMm9Eb2MueG1sUEsFBgAAAAAGAAYAWQEAAHYFAAAAAA==&#10;">
                <v:fill on="f" focussize="0,0"/>
                <v:stroke weight="4.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color w:val="000000" w:themeColor="text1"/>
          <w:sz w:val="44"/>
          <w:szCs w:val="44"/>
          <w14:textFill>
            <w14:solidFill>
              <w14:schemeClr w14:val="tx1"/>
            </w14:solidFill>
          </w14:textFill>
        </w:rPr>
      </w:pPr>
      <w:r>
        <w:rPr>
          <w:rFonts w:hint="eastAsia" w:ascii="小标宋" w:hAnsi="小标宋" w:eastAsia="小标宋" w:cs="小标宋"/>
          <w:color w:val="000000" w:themeColor="text1"/>
          <w:sz w:val="44"/>
          <w:szCs w:val="44"/>
          <w14:textFill>
            <w14:solidFill>
              <w14:schemeClr w14:val="tx1"/>
            </w14:solidFill>
          </w14:textFill>
        </w:rPr>
        <w:t>2021年杭州市环境监测社会化服务机构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color w:val="000000" w:themeColor="text1"/>
          <w:sz w:val="44"/>
          <w:szCs w:val="44"/>
          <w14:textFill>
            <w14:solidFill>
              <w14:schemeClr w14:val="tx1"/>
            </w14:solidFill>
          </w14:textFill>
        </w:rPr>
      </w:pPr>
      <w:r>
        <w:rPr>
          <w:rFonts w:hint="eastAsia" w:ascii="小标宋" w:hAnsi="小标宋" w:eastAsia="小标宋" w:cs="小标宋"/>
          <w:color w:val="000000" w:themeColor="text1"/>
          <w:sz w:val="44"/>
          <w:szCs w:val="44"/>
          <w14:textFill>
            <w14:solidFill>
              <w14:schemeClr w14:val="tx1"/>
            </w14:solidFill>
          </w14:textFill>
        </w:rPr>
        <w:t>检测（运维）技术规范化评价</w:t>
      </w:r>
      <w:r>
        <w:rPr>
          <w:rFonts w:hint="eastAsia" w:ascii="小标宋" w:hAnsi="小标宋" w:eastAsia="小标宋" w:cs="小标宋"/>
          <w:color w:val="000000" w:themeColor="text1"/>
          <w:sz w:val="44"/>
          <w:szCs w:val="44"/>
          <w:lang w:val="en-US" w:eastAsia="zh-CN"/>
          <w14:textFill>
            <w14:solidFill>
              <w14:schemeClr w14:val="tx1"/>
            </w14:solidFill>
          </w14:textFill>
        </w:rPr>
        <w:t>结果</w:t>
      </w:r>
      <w:r>
        <w:rPr>
          <w:rFonts w:hint="eastAsia" w:ascii="小标宋" w:hAnsi="小标宋" w:eastAsia="小标宋" w:cs="小标宋"/>
          <w:color w:val="000000" w:themeColor="text1"/>
          <w:sz w:val="44"/>
          <w:szCs w:val="44"/>
          <w14:textFill>
            <w14:solidFill>
              <w14:schemeClr w14:val="tx1"/>
            </w14:solidFill>
          </w14:textFill>
        </w:rPr>
        <w:t>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各环境检测（运维）社会化服务机构：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根据《关于进一步加强杭州市</w:t>
      </w:r>
      <w:bookmarkStart w:id="0" w:name="_Hlk69905994"/>
      <w:r>
        <w:rPr>
          <w:rFonts w:hint="eastAsia" w:ascii="仿宋_GB2312" w:hAnsi="仿宋" w:eastAsia="仿宋_GB2312"/>
          <w:color w:val="000000" w:themeColor="text1"/>
          <w:sz w:val="32"/>
          <w:szCs w:val="32"/>
          <w14:textFill>
            <w14:solidFill>
              <w14:schemeClr w14:val="tx1"/>
            </w14:solidFill>
          </w14:textFill>
        </w:rPr>
        <w:t>环境监测社会化服务机构</w:t>
      </w:r>
      <w:bookmarkEnd w:id="0"/>
      <w:r>
        <w:rPr>
          <w:rFonts w:hint="eastAsia" w:ascii="仿宋_GB2312" w:hAnsi="仿宋" w:eastAsia="仿宋_GB2312"/>
          <w:color w:val="000000" w:themeColor="text1"/>
          <w:sz w:val="32"/>
          <w:szCs w:val="32"/>
          <w14:textFill>
            <w14:solidFill>
              <w14:schemeClr w14:val="tx1"/>
            </w14:solidFill>
          </w14:textFill>
        </w:rPr>
        <w:t>管理的通知》（杭环发〔2018〕11号）的规定，我局委托杭州市环保产业协会对我市55家环境检测、15家污染源运维社会化服务机构开展了2021年度检测业务技术规范化评价（以下简称评价）</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并对之前评价得分较低的机构开展“回头看”（评价结果详见附件）</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sz w:val="32"/>
          <w:szCs w:val="32"/>
        </w:rPr>
        <w:t>从本次评价看，各检测（运维）机构的日常管理和质量控制工作</w:t>
      </w:r>
      <w:r>
        <w:rPr>
          <w:rFonts w:hint="eastAsia" w:ascii="仿宋_GB2312" w:hAnsi="仿宋" w:eastAsia="仿宋_GB2312"/>
          <w:sz w:val="32"/>
          <w:szCs w:val="32"/>
          <w:lang w:eastAsia="zh-CN"/>
        </w:rPr>
        <w:t>较</w:t>
      </w:r>
      <w:r>
        <w:rPr>
          <w:rFonts w:hint="eastAsia" w:ascii="仿宋_GB2312" w:hAnsi="仿宋" w:eastAsia="仿宋_GB2312"/>
          <w:sz w:val="32"/>
          <w:szCs w:val="32"/>
        </w:rPr>
        <w:t>2020年有显著提升，总体向好。但部分检测（运维）</w:t>
      </w:r>
      <w:r>
        <w:rPr>
          <w:rFonts w:hint="eastAsia" w:ascii="仿宋_GB2312" w:hAnsi="仿宋" w:eastAsia="仿宋_GB2312"/>
          <w:sz w:val="32"/>
          <w:szCs w:val="32"/>
          <w:lang w:eastAsia="zh-CN"/>
        </w:rPr>
        <w:t>仍</w:t>
      </w:r>
      <w:r>
        <w:rPr>
          <w:rFonts w:hint="eastAsia" w:ascii="仿宋_GB2312" w:hAnsi="仿宋" w:eastAsia="仿宋_GB2312"/>
          <w:sz w:val="32"/>
          <w:szCs w:val="32"/>
        </w:rPr>
        <w:t>机构存在一些不足。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一、存在的主要问题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黑体" w:hAnsi="黑体" w:eastAsia="黑体" w:cs="仿宋"/>
          <w:sz w:val="32"/>
          <w:szCs w:val="32"/>
          <w:lang w:val="en-US" w:eastAsia="zh-CN"/>
        </w:rPr>
      </w:pPr>
      <w:r>
        <w:rPr>
          <w:rFonts w:hint="eastAsia" w:ascii="黑体" w:hAnsi="黑体" w:eastAsia="黑体" w:cs="Arial"/>
          <w:color w:val="000000" w:themeColor="text1"/>
          <w:sz w:val="32"/>
          <w:szCs w:val="32"/>
          <w14:textFill>
            <w14:solidFill>
              <w14:schemeClr w14:val="tx1"/>
            </w14:solidFill>
          </w14:textFill>
        </w:rPr>
        <w:t>（一）</w:t>
      </w:r>
      <w:r>
        <w:rPr>
          <w:rFonts w:hint="eastAsia" w:ascii="黑体" w:hAnsi="黑体" w:eastAsia="黑体" w:cs="仿宋"/>
          <w:sz w:val="32"/>
          <w:szCs w:val="32"/>
          <w:lang w:val="en-US" w:eastAsia="zh-CN"/>
        </w:rPr>
        <w:t>社会</w:t>
      </w:r>
      <w:r>
        <w:rPr>
          <w:rFonts w:hint="eastAsia" w:ascii="黑体" w:hAnsi="黑体" w:eastAsia="黑体" w:cs="仿宋"/>
          <w:sz w:val="32"/>
          <w:szCs w:val="32"/>
        </w:rPr>
        <w:t>检测机构</w:t>
      </w:r>
      <w:r>
        <w:rPr>
          <w:rFonts w:hint="eastAsia" w:ascii="黑体" w:hAnsi="黑体" w:eastAsia="黑体" w:cs="仿宋"/>
          <w:sz w:val="32"/>
          <w:szCs w:val="32"/>
          <w:lang w:val="en-US" w:eastAsia="zh-CN"/>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一是</w:t>
      </w:r>
      <w:r>
        <w:rPr>
          <w:rFonts w:hint="eastAsia" w:ascii="仿宋_GB2312" w:hAnsi="仿宋" w:eastAsia="仿宋_GB2312"/>
          <w:b/>
          <w:bCs/>
          <w:color w:val="000000" w:themeColor="text1"/>
          <w:sz w:val="32"/>
          <w:szCs w:val="32"/>
          <w14:textFill>
            <w14:solidFill>
              <w14:schemeClr w14:val="tx1"/>
            </w14:solidFill>
          </w14:textFill>
        </w:rPr>
        <w:t>机构主体责任意识不强</w:t>
      </w:r>
      <w:r>
        <w:rPr>
          <w:rFonts w:hint="eastAsia" w:ascii="仿宋_GB2312" w:hAnsi="仿宋" w:eastAsia="仿宋_GB2312"/>
          <w:color w:val="000000" w:themeColor="text1"/>
          <w:sz w:val="32"/>
          <w:szCs w:val="32"/>
          <w14:textFill>
            <w14:solidFill>
              <w14:schemeClr w14:val="tx1"/>
            </w14:solidFill>
          </w14:textFill>
        </w:rPr>
        <w:t>。部分机构存在采样检测方案编制不完整，普遍缺少采样仪器名称、型号以及采样安全与防范措施等信息；授权签字人责任意识淡薄，审核报告不仔细，出现报告录入错误、漏检项目等情况。</w:t>
      </w:r>
      <w:r>
        <w:rPr>
          <w:rFonts w:hint="eastAsia" w:ascii="仿宋_GB2312" w:hAnsi="仿宋" w:eastAsia="仿宋_GB2312"/>
          <w:b/>
          <w:bCs/>
          <w:color w:val="000000" w:themeColor="text1"/>
          <w:sz w:val="32"/>
          <w:szCs w:val="32"/>
          <w:lang w:val="en-US" w:eastAsia="zh-CN"/>
          <w14:textFill>
            <w14:solidFill>
              <w14:schemeClr w14:val="tx1"/>
            </w14:solidFill>
          </w14:textFill>
        </w:rPr>
        <w:t>二是</w:t>
      </w:r>
      <w:r>
        <w:rPr>
          <w:rFonts w:hint="eastAsia" w:ascii="仿宋_GB2312" w:hAnsi="仿宋" w:eastAsia="仿宋_GB2312"/>
          <w:b/>
          <w:bCs/>
          <w:color w:val="000000" w:themeColor="text1"/>
          <w:sz w:val="32"/>
          <w:szCs w:val="32"/>
          <w14:textFill>
            <w14:solidFill>
              <w14:schemeClr w14:val="tx1"/>
            </w14:solidFill>
          </w14:textFill>
        </w:rPr>
        <w:t>机构检验检测行为不规范。</w:t>
      </w:r>
      <w:r>
        <w:rPr>
          <w:rFonts w:hint="eastAsia" w:ascii="仿宋_GB2312" w:hAnsi="仿宋" w:eastAsia="仿宋_GB2312"/>
          <w:color w:val="000000" w:themeColor="text1"/>
          <w:sz w:val="32"/>
          <w:szCs w:val="32"/>
          <w14:textFill>
            <w14:solidFill>
              <w14:schemeClr w14:val="tx1"/>
            </w14:solidFill>
          </w14:textFill>
        </w:rPr>
        <w:t>存在未严格按照相关标准或技术规范进行检验检测</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提供的方法验证报告中没有涉及检出限验证、精密度验证、准确度验证或验证不全</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实验室双份空白、全程序空白、10%平行双样上</w:t>
      </w:r>
      <w:r>
        <w:rPr>
          <w:rFonts w:hint="eastAsia" w:ascii="仿宋_GB2312" w:hAnsi="仿宋" w:eastAsia="仿宋_GB2312"/>
          <w:color w:val="000000" w:themeColor="text1"/>
          <w:sz w:val="32"/>
          <w:szCs w:val="32"/>
          <w:lang w:val="en-US" w:eastAsia="zh-CN"/>
          <w14:textFill>
            <w14:solidFill>
              <w14:schemeClr w14:val="tx1"/>
            </w14:solidFill>
          </w14:textFill>
        </w:rPr>
        <w:t>执行不到位</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引用过期标准、与标准规定项目名称、格式不一致等情况。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仿宋"/>
          <w:color w:val="0D0D0D"/>
          <w:sz w:val="32"/>
          <w:szCs w:val="32"/>
          <w:lang w:val="en-US" w:eastAsia="zh-CN"/>
        </w:rPr>
      </w:pPr>
      <w:r>
        <w:rPr>
          <w:rFonts w:hint="eastAsia" w:ascii="黑体" w:hAnsi="黑体" w:eastAsia="黑体" w:cs="Arial"/>
          <w:color w:val="000000" w:themeColor="text1"/>
          <w:sz w:val="32"/>
          <w:szCs w:val="32"/>
          <w14:textFill>
            <w14:solidFill>
              <w14:schemeClr w14:val="tx1"/>
            </w14:solidFill>
          </w14:textFill>
        </w:rPr>
        <w:t>（二）</w:t>
      </w:r>
      <w:r>
        <w:rPr>
          <w:rFonts w:hint="eastAsia" w:ascii="黑体" w:hAnsi="黑体" w:eastAsia="黑体" w:cs="仿宋"/>
          <w:color w:val="0D0D0D"/>
          <w:sz w:val="32"/>
          <w:szCs w:val="32"/>
        </w:rPr>
        <w:t>污染源在线运维机构</w:t>
      </w:r>
      <w:r>
        <w:rPr>
          <w:rFonts w:hint="eastAsia" w:ascii="黑体" w:hAnsi="黑体" w:eastAsia="黑体" w:cs="仿宋"/>
          <w:color w:val="0D0D0D"/>
          <w:sz w:val="32"/>
          <w:szCs w:val="32"/>
          <w:lang w:val="en-US" w:eastAsia="zh-CN"/>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一是</w:t>
      </w:r>
      <w:r>
        <w:rPr>
          <w:rFonts w:hint="eastAsia" w:ascii="仿宋_GB2312" w:hAnsi="仿宋" w:eastAsia="仿宋_GB2312"/>
          <w:b/>
          <w:bCs/>
          <w:color w:val="000000" w:themeColor="text1"/>
          <w:sz w:val="32"/>
          <w:szCs w:val="32"/>
          <w14:textFill>
            <w14:solidFill>
              <w14:schemeClr w14:val="tx1"/>
            </w14:solidFill>
          </w14:textFill>
        </w:rPr>
        <w:t>运维机构实验室能力建设严重不足。</w:t>
      </w:r>
      <w:r>
        <w:rPr>
          <w:rFonts w:hint="eastAsia" w:ascii="仿宋_GB2312" w:hAnsi="仿宋" w:eastAsia="仿宋_GB2312"/>
          <w:color w:val="000000" w:themeColor="text1"/>
          <w:sz w:val="32"/>
          <w:szCs w:val="32"/>
          <w14:textFill>
            <w14:solidFill>
              <w14:schemeClr w14:val="tx1"/>
            </w14:solidFill>
          </w14:textFill>
        </w:rPr>
        <w:t>特别是从事烟气运维机构，颗粒物项目采样设备、检测设备</w:t>
      </w:r>
      <w:r>
        <w:rPr>
          <w:rFonts w:hint="eastAsia" w:ascii="仿宋_GB2312" w:hAnsi="仿宋" w:eastAsia="仿宋_GB2312"/>
          <w:color w:val="000000" w:themeColor="text1"/>
          <w:sz w:val="32"/>
          <w:szCs w:val="32"/>
          <w:lang w:val="en-US" w:eastAsia="zh-CN"/>
          <w14:textFill>
            <w14:solidFill>
              <w14:schemeClr w14:val="tx1"/>
            </w14:solidFill>
          </w14:textFill>
        </w:rPr>
        <w:t>未达到</w:t>
      </w:r>
      <w:r>
        <w:rPr>
          <w:rFonts w:hint="eastAsia" w:ascii="仿宋_GB2312" w:hAnsi="仿宋" w:eastAsia="仿宋_GB2312"/>
          <w:color w:val="000000" w:themeColor="text1"/>
          <w:sz w:val="32"/>
          <w:szCs w:val="32"/>
          <w14:textFill>
            <w14:solidFill>
              <w14:schemeClr w14:val="tx1"/>
            </w14:solidFill>
          </w14:textFill>
        </w:rPr>
        <w:t>运维</w:t>
      </w:r>
      <w:r>
        <w:rPr>
          <w:rFonts w:hint="eastAsia" w:ascii="仿宋_GB2312" w:hAnsi="仿宋" w:eastAsia="仿宋_GB2312"/>
          <w:color w:val="000000" w:themeColor="text1"/>
          <w:sz w:val="32"/>
          <w:szCs w:val="32"/>
          <w:lang w:val="en-US" w:eastAsia="zh-CN"/>
          <w14:textFill>
            <w14:solidFill>
              <w14:schemeClr w14:val="tx1"/>
            </w14:solidFill>
          </w14:textFill>
        </w:rPr>
        <w:t>规定要求</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b/>
          <w:bCs/>
          <w:color w:val="000000" w:themeColor="text1"/>
          <w:sz w:val="32"/>
          <w:szCs w:val="32"/>
          <w:lang w:val="en-US" w:eastAsia="zh-CN"/>
          <w14:textFill>
            <w14:solidFill>
              <w14:schemeClr w14:val="tx1"/>
            </w14:solidFill>
          </w14:textFill>
        </w:rPr>
        <w:t>二是部分</w:t>
      </w:r>
      <w:r>
        <w:rPr>
          <w:rFonts w:hint="eastAsia" w:ascii="仿宋_GB2312" w:hAnsi="仿宋" w:eastAsia="仿宋_GB2312"/>
          <w:b/>
          <w:bCs/>
          <w:color w:val="000000" w:themeColor="text1"/>
          <w:sz w:val="32"/>
          <w:szCs w:val="32"/>
          <w14:textFill>
            <w14:solidFill>
              <w14:schemeClr w14:val="tx1"/>
            </w14:solidFill>
          </w14:textFill>
        </w:rPr>
        <w:t>机构“一厂一档”不健全</w:t>
      </w:r>
      <w:r>
        <w:rPr>
          <w:rFonts w:hint="eastAsia" w:ascii="仿宋_GB2312" w:hAnsi="仿宋" w:eastAsia="仿宋_GB2312"/>
          <w:b/>
          <w:bCs/>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缺失仪器设备、档案设备调试记录，设施验收记录，设施备案资料，备品备件出入库记录等</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黑体"/>
          <w:b/>
          <w:bCs/>
          <w:sz w:val="32"/>
          <w:szCs w:val="32"/>
          <w:lang w:val="en-US" w:eastAsia="zh-CN"/>
        </w:rPr>
      </w:pPr>
      <w:r>
        <w:rPr>
          <w:rFonts w:hint="eastAsia" w:ascii="黑体" w:hAnsi="黑体" w:eastAsia="黑体" w:cs="仿宋"/>
          <w:color w:val="0D0D0D"/>
          <w:sz w:val="32"/>
          <w:szCs w:val="32"/>
        </w:rPr>
        <w:t>（三）</w:t>
      </w:r>
      <w:r>
        <w:rPr>
          <w:rFonts w:hint="eastAsia" w:ascii="黑体" w:hAnsi="黑体" w:eastAsia="黑体" w:cs="仿宋"/>
          <w:color w:val="0D0D0D"/>
          <w:sz w:val="32"/>
          <w:szCs w:val="32"/>
          <w:lang w:eastAsia="zh-CN"/>
        </w:rPr>
        <w:t>“</w:t>
      </w:r>
      <w:r>
        <w:rPr>
          <w:rFonts w:hint="eastAsia" w:ascii="黑体" w:hAnsi="黑体" w:eastAsia="黑体" w:cs="仿宋"/>
          <w:color w:val="0D0D0D"/>
          <w:sz w:val="32"/>
          <w:szCs w:val="32"/>
        </w:rPr>
        <w:t>回头看</w:t>
      </w:r>
      <w:r>
        <w:rPr>
          <w:rFonts w:hint="eastAsia" w:ascii="黑体" w:hAnsi="黑体" w:eastAsia="黑体" w:cs="仿宋"/>
          <w:color w:val="0D0D0D"/>
          <w:sz w:val="32"/>
          <w:szCs w:val="32"/>
          <w:lang w:eastAsia="zh-CN"/>
        </w:rPr>
        <w:t>”</w:t>
      </w:r>
      <w:r>
        <w:rPr>
          <w:rFonts w:hint="eastAsia" w:ascii="黑体" w:hAnsi="黑体" w:eastAsia="黑体" w:cs="仿宋"/>
          <w:color w:val="0D0D0D"/>
          <w:sz w:val="32"/>
          <w:szCs w:val="32"/>
          <w:lang w:val="en-US" w:eastAsia="zh-CN"/>
        </w:rPr>
        <w:t>存在主要问题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lang w:val="en-US" w:eastAsia="zh-CN"/>
        </w:rPr>
        <w:t>一是</w:t>
      </w:r>
      <w:r>
        <w:rPr>
          <w:rFonts w:hint="eastAsia" w:ascii="仿宋_GB2312" w:hAnsi="仿宋" w:eastAsia="仿宋_GB2312"/>
          <w:b/>
          <w:bCs/>
          <w:sz w:val="32"/>
          <w:szCs w:val="32"/>
        </w:rPr>
        <w:t>管理体系运行仍不规范。</w:t>
      </w:r>
      <w:r>
        <w:rPr>
          <w:rFonts w:hint="eastAsia" w:ascii="仿宋_GB2312" w:hAnsi="仿宋" w:eastAsia="仿宋_GB2312"/>
          <w:sz w:val="32"/>
          <w:szCs w:val="32"/>
        </w:rPr>
        <w:t>存在体系文件未及时修订，质量控制未按规定落实。样品无标识或标识信息不全、样品混淆存放、留存样品数量及留样环境不符合规范等现象。</w:t>
      </w:r>
      <w:r>
        <w:rPr>
          <w:rFonts w:hint="eastAsia" w:ascii="仿宋_GB2312" w:hAnsi="仿宋" w:eastAsia="仿宋_GB2312"/>
          <w:b/>
          <w:bCs/>
          <w:sz w:val="32"/>
          <w:szCs w:val="32"/>
          <w:lang w:val="en-US" w:eastAsia="zh-CN"/>
        </w:rPr>
        <w:t>二是</w:t>
      </w:r>
      <w:r>
        <w:rPr>
          <w:rFonts w:hint="eastAsia" w:ascii="仿宋_GB2312" w:hAnsi="仿宋" w:eastAsia="仿宋_GB2312"/>
          <w:b/>
          <w:bCs/>
          <w:sz w:val="32"/>
          <w:szCs w:val="32"/>
        </w:rPr>
        <w:t>人员素质和能力水平有待提高。</w:t>
      </w:r>
      <w:r>
        <w:rPr>
          <w:rFonts w:hint="eastAsia" w:ascii="仿宋_GB2312" w:hAnsi="仿宋" w:eastAsia="仿宋_GB2312"/>
          <w:color w:val="000000" w:themeColor="text1"/>
          <w:sz w:val="32"/>
          <w:szCs w:val="32"/>
          <w14:textFill>
            <w14:solidFill>
              <w14:schemeClr w14:val="tx1"/>
            </w14:solidFill>
          </w14:textFill>
        </w:rPr>
        <w:t>专业技术培训</w:t>
      </w:r>
      <w:r>
        <w:rPr>
          <w:rFonts w:hint="eastAsia" w:ascii="仿宋_GB2312" w:hAnsi="仿宋" w:eastAsia="仿宋_GB2312"/>
          <w:color w:val="000000" w:themeColor="text1"/>
          <w:sz w:val="32"/>
          <w:szCs w:val="32"/>
          <w:lang w:eastAsia="zh-CN"/>
          <w14:textFill>
            <w14:solidFill>
              <w14:schemeClr w14:val="tx1"/>
            </w14:solidFill>
          </w14:textFill>
        </w:rPr>
        <w:t>未</w:t>
      </w:r>
      <w:r>
        <w:rPr>
          <w:rFonts w:hint="eastAsia" w:ascii="仿宋_GB2312" w:hAnsi="仿宋" w:eastAsia="仿宋_GB2312"/>
          <w:color w:val="000000" w:themeColor="text1"/>
          <w:sz w:val="32"/>
          <w:szCs w:val="32"/>
          <w14:textFill>
            <w14:solidFill>
              <w14:schemeClr w14:val="tx1"/>
            </w14:solidFill>
          </w14:textFill>
        </w:rPr>
        <w:t>落实，人员能力不足，影响检测质量。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
          <w:color w:val="0D0D0D"/>
          <w:sz w:val="32"/>
          <w:szCs w:val="32"/>
        </w:rPr>
      </w:pPr>
      <w:r>
        <w:rPr>
          <w:rFonts w:hint="eastAsia" w:ascii="黑体" w:hAnsi="黑体" w:eastAsia="黑体" w:cs="仿宋"/>
          <w:color w:val="0D0D0D"/>
          <w:sz w:val="32"/>
          <w:szCs w:val="32"/>
        </w:rPr>
        <w:t>二、</w:t>
      </w:r>
      <w:r>
        <w:rPr>
          <w:rFonts w:hint="eastAsia" w:ascii="黑体" w:hAnsi="黑体" w:eastAsia="黑体" w:cs="仿宋"/>
          <w:color w:val="0D0D0D"/>
          <w:sz w:val="32"/>
          <w:szCs w:val="32"/>
          <w:lang w:val="en-US" w:eastAsia="zh-CN"/>
        </w:rPr>
        <w:t>建议和</w:t>
      </w:r>
      <w:r>
        <w:rPr>
          <w:rFonts w:hint="eastAsia" w:ascii="黑体" w:hAnsi="黑体" w:eastAsia="黑体" w:cs="仿宋"/>
          <w:color w:val="0D0D0D"/>
          <w:sz w:val="32"/>
          <w:szCs w:val="32"/>
        </w:rPr>
        <w:t>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一是</w:t>
      </w:r>
      <w:r>
        <w:rPr>
          <w:rFonts w:hint="eastAsia" w:ascii="仿宋_GB2312" w:hAnsi="仿宋" w:eastAsia="仿宋_GB2312"/>
          <w:b/>
          <w:bCs/>
          <w:color w:val="000000" w:themeColor="text1"/>
          <w:sz w:val="32"/>
          <w:szCs w:val="32"/>
          <w14:textFill>
            <w14:solidFill>
              <w14:schemeClr w14:val="tx1"/>
            </w14:solidFill>
          </w14:textFill>
        </w:rPr>
        <w:t>强化主体责任，提高遵法守法意识。</w:t>
      </w:r>
      <w:r>
        <w:rPr>
          <w:rFonts w:hint="eastAsia" w:ascii="仿宋_GB2312" w:hAnsi="仿宋" w:eastAsia="仿宋_GB2312"/>
          <w:color w:val="000000" w:themeColor="text1"/>
          <w:sz w:val="32"/>
          <w:szCs w:val="32"/>
          <w14:textFill>
            <w14:solidFill>
              <w14:schemeClr w14:val="tx1"/>
            </w14:solidFill>
          </w14:textFill>
        </w:rPr>
        <w:t>各检验检测机构要严格依法履行主体责任，加强学习法律法规和标准规范，提升风险意识，严格依法开展检验检测活动；对评价中发现的问题要举一反三，及时整改到位，确保出具的检验检测数据和结果真实、合法、有效。</w:t>
      </w:r>
      <w:r>
        <w:rPr>
          <w:rFonts w:hint="eastAsia" w:ascii="仿宋_GB2312" w:hAnsi="仿宋" w:eastAsia="仿宋_GB2312"/>
          <w:b/>
          <w:bCs/>
          <w:color w:val="000000" w:themeColor="text1"/>
          <w:sz w:val="32"/>
          <w:szCs w:val="32"/>
          <w:lang w:val="en-US" w:eastAsia="zh-CN"/>
          <w14:textFill>
            <w14:solidFill>
              <w14:schemeClr w14:val="tx1"/>
            </w14:solidFill>
          </w14:textFill>
        </w:rPr>
        <w:t>二是</w:t>
      </w:r>
      <w:r>
        <w:rPr>
          <w:rFonts w:hint="eastAsia" w:ascii="仿宋_GB2312" w:hAnsi="仿宋" w:eastAsia="仿宋_GB2312"/>
          <w:b/>
          <w:bCs/>
          <w:color w:val="000000" w:themeColor="text1"/>
          <w:sz w:val="32"/>
          <w:szCs w:val="32"/>
          <w14:textFill>
            <w14:solidFill>
              <w14:schemeClr w14:val="tx1"/>
            </w14:solidFill>
          </w14:textFill>
        </w:rPr>
        <w:t>强化结果应用，净化检验检测市场环境。</w:t>
      </w:r>
      <w:r>
        <w:rPr>
          <w:rFonts w:hint="eastAsia" w:ascii="仿宋_GB2312" w:hAnsi="仿宋" w:eastAsia="仿宋_GB2312"/>
          <w:color w:val="000000" w:themeColor="text1"/>
          <w:sz w:val="32"/>
          <w:szCs w:val="32"/>
          <w14:textFill>
            <w14:solidFill>
              <w14:schemeClr w14:val="tx1"/>
            </w14:solidFill>
          </w14:textFill>
        </w:rPr>
        <w:t>评价结果</w:t>
      </w:r>
      <w:r>
        <w:rPr>
          <w:rFonts w:hint="eastAsia" w:ascii="仿宋_GB2312" w:hAnsi="仿宋" w:eastAsia="仿宋_GB2312"/>
          <w:color w:val="000000" w:themeColor="text1"/>
          <w:sz w:val="32"/>
          <w:szCs w:val="32"/>
          <w:lang w:eastAsia="zh-CN"/>
          <w14:textFill>
            <w14:solidFill>
              <w14:schemeClr w14:val="tx1"/>
            </w14:solidFill>
          </w14:textFill>
        </w:rPr>
        <w:t>应</w:t>
      </w:r>
      <w:r>
        <w:rPr>
          <w:rFonts w:hint="eastAsia" w:ascii="仿宋_GB2312" w:hAnsi="仿宋" w:eastAsia="仿宋_GB2312"/>
          <w:color w:val="000000" w:themeColor="text1"/>
          <w:sz w:val="32"/>
          <w:szCs w:val="32"/>
          <w14:textFill>
            <w14:solidFill>
              <w14:schemeClr w14:val="tx1"/>
            </w14:solidFill>
          </w14:textFill>
        </w:rPr>
        <w:t>全面导入环保码，强化评价结果运用</w:t>
      </w:r>
      <w:r>
        <w:rPr>
          <w:rFonts w:hint="eastAsia" w:ascii="仿宋_GB2312" w:hAnsi="仿宋" w:eastAsia="仿宋_GB2312"/>
          <w:color w:val="000000" w:themeColor="text1"/>
          <w:sz w:val="32"/>
          <w:szCs w:val="32"/>
          <w:lang w:val="en-US" w:eastAsia="zh-CN"/>
          <w14:textFill>
            <w14:solidFill>
              <w14:schemeClr w14:val="tx1"/>
            </w14:solidFill>
          </w14:textFill>
        </w:rPr>
        <w:t>和</w:t>
      </w:r>
      <w:r>
        <w:rPr>
          <w:rFonts w:hint="eastAsia" w:ascii="仿宋_GB2312" w:hAnsi="仿宋" w:eastAsia="仿宋_GB2312"/>
          <w:color w:val="000000" w:themeColor="text1"/>
          <w:sz w:val="32"/>
          <w:szCs w:val="32"/>
          <w14:textFill>
            <w14:solidFill>
              <w14:schemeClr w14:val="tx1"/>
            </w14:solidFill>
          </w14:textFill>
        </w:rPr>
        <w:t>共享，</w:t>
      </w:r>
      <w:r>
        <w:rPr>
          <w:rFonts w:hint="eastAsia" w:ascii="仿宋_GB2312" w:hAnsi="仿宋" w:eastAsia="仿宋_GB2312"/>
          <w:color w:val="000000" w:themeColor="text1"/>
          <w:sz w:val="32"/>
          <w:szCs w:val="32"/>
          <w:lang w:val="en-US" w:eastAsia="zh-CN"/>
          <w14:textFill>
            <w14:solidFill>
              <w14:schemeClr w14:val="tx1"/>
            </w14:solidFill>
          </w14:textFill>
        </w:rPr>
        <w:t>各相关机构需进一步提高认识，避免</w:t>
      </w:r>
      <w:r>
        <w:rPr>
          <w:rFonts w:hint="eastAsia" w:ascii="仿宋_GB2312" w:hAnsi="仿宋" w:eastAsia="仿宋_GB2312"/>
          <w:color w:val="000000" w:themeColor="text1"/>
          <w:sz w:val="32"/>
          <w:szCs w:val="32"/>
          <w14:textFill>
            <w14:solidFill>
              <w14:schemeClr w14:val="tx1"/>
            </w14:solidFill>
          </w14:textFill>
        </w:rPr>
        <w:t>“一处受罚、处处受限”</w:t>
      </w:r>
      <w:r>
        <w:rPr>
          <w:rFonts w:hint="eastAsia" w:ascii="仿宋_GB2312" w:hAnsi="仿宋" w:eastAsia="仿宋_GB2312"/>
          <w:color w:val="000000" w:themeColor="text1"/>
          <w:sz w:val="32"/>
          <w:szCs w:val="32"/>
          <w:lang w:val="en-US" w:eastAsia="zh-CN"/>
          <w14:textFill>
            <w14:solidFill>
              <w14:schemeClr w14:val="tx1"/>
            </w14:solidFill>
          </w14:textFill>
        </w:rPr>
        <w:t>的情况发生</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eastAsia="zh-CN"/>
          <w14:textFill>
            <w14:solidFill>
              <w14:schemeClr w14:val="tx1"/>
            </w14:solidFill>
          </w14:textFill>
        </w:rPr>
        <w:t>下一步，我局将</w:t>
      </w:r>
      <w:r>
        <w:rPr>
          <w:rFonts w:hint="eastAsia" w:ascii="仿宋_GB2312" w:hAnsi="仿宋" w:eastAsia="仿宋_GB2312"/>
          <w:color w:val="000000" w:themeColor="text1"/>
          <w:sz w:val="32"/>
          <w:szCs w:val="32"/>
          <w14:textFill>
            <w14:solidFill>
              <w14:schemeClr w14:val="tx1"/>
            </w14:solidFill>
          </w14:textFill>
        </w:rPr>
        <w:t>持续加大对检验检测机构的监管力度，加强风险管控，拓展专业技术培训的深度和广度、扩大盲样考核范围、加深盲样考核难度，开展环境检测岗位技术大比武和业务培训，</w:t>
      </w:r>
      <w:r>
        <w:rPr>
          <w:rFonts w:hint="eastAsia" w:ascii="仿宋_GB2312" w:hAnsi="仿宋" w:eastAsia="仿宋_GB2312"/>
          <w:color w:val="000000" w:themeColor="text1"/>
          <w:sz w:val="32"/>
          <w:szCs w:val="32"/>
          <w:lang w:eastAsia="zh-CN"/>
          <w14:textFill>
            <w14:solidFill>
              <w14:schemeClr w14:val="tx1"/>
            </w14:solidFill>
          </w14:textFill>
        </w:rPr>
        <w:t>推动</w:t>
      </w:r>
      <w:r>
        <w:rPr>
          <w:rFonts w:hint="eastAsia" w:ascii="仿宋_GB2312" w:hAnsi="仿宋" w:eastAsia="仿宋_GB2312"/>
          <w:color w:val="000000" w:themeColor="text1"/>
          <w:sz w:val="32"/>
          <w:szCs w:val="32"/>
          <w14:textFill>
            <w14:solidFill>
              <w14:schemeClr w14:val="tx1"/>
            </w14:solidFill>
          </w14:textFill>
        </w:rPr>
        <w:t>检测机构的检验检测能力，</w:t>
      </w:r>
      <w:r>
        <w:rPr>
          <w:rFonts w:hint="eastAsia" w:ascii="仿宋_GB2312" w:hAnsi="仿宋" w:eastAsia="仿宋_GB2312"/>
          <w:color w:val="000000" w:themeColor="text1"/>
          <w:sz w:val="32"/>
          <w:szCs w:val="32"/>
          <w:lang w:eastAsia="zh-CN"/>
          <w14:textFill>
            <w14:solidFill>
              <w14:schemeClr w14:val="tx1"/>
            </w14:solidFill>
          </w14:textFill>
        </w:rPr>
        <w:t>促进</w:t>
      </w:r>
      <w:r>
        <w:rPr>
          <w:rFonts w:hint="eastAsia" w:ascii="仿宋_GB2312" w:hAnsi="仿宋" w:eastAsia="仿宋_GB2312"/>
          <w:color w:val="000000" w:themeColor="text1"/>
          <w:sz w:val="32"/>
          <w:szCs w:val="32"/>
          <w14:textFill>
            <w14:solidFill>
              <w14:schemeClr w14:val="tx1"/>
            </w14:solidFill>
          </w14:textFill>
        </w:rPr>
        <w:t>全市检验检测行业健康、持续、高效发展。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附件1：2021年社会检测(综合类)机构规范化评价得分等级表；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附件2：2021年社会检测(专项类)机构规范化评价得分等级表；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附件3：2021年污染源在线运维机构规范化评价得分等级表。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杭州市生态环境局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2022年1月26日</w:t>
      </w:r>
    </w:p>
    <w:p>
      <w:pPr>
        <w:spacing w:line="560" w:lineRule="exact"/>
        <w:rPr>
          <w:rFonts w:ascii="仿宋_GB2312" w:hAnsi="仿宋" w:eastAsia="仿宋_GB2312"/>
          <w:sz w:val="32"/>
          <w:szCs w:val="32"/>
        </w:rPr>
      </w:pPr>
    </w:p>
    <w:p>
      <w:pPr>
        <w:spacing w:line="560" w:lineRule="exact"/>
        <w:rPr>
          <w:rFonts w:ascii="仿宋_GB2312" w:hAnsi="Times New Roman" w:eastAsia="仿宋_GB2312"/>
          <w:b/>
          <w:bCs/>
          <w:color w:val="0D0D0D"/>
          <w:sz w:val="32"/>
          <w:szCs w:val="32"/>
        </w:rPr>
      </w:pPr>
    </w:p>
    <w:p>
      <w:pPr>
        <w:pStyle w:val="2"/>
        <w:spacing w:after="0" w:line="560" w:lineRule="exact"/>
        <w:rPr>
          <w:rFonts w:ascii="仿宋_GB2312" w:hAnsi="Times New Roman" w:eastAsia="仿宋_GB2312"/>
          <w:b/>
          <w:bCs/>
          <w:color w:val="0D0D0D"/>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楷体" w:hAnsi="楷体" w:eastAsia="楷体" w:cs="楷体"/>
          <w:sz w:val="30"/>
          <w:szCs w:val="30"/>
        </w:rPr>
      </w:pPr>
      <w:r>
        <w:rPr>
          <w:rFonts w:hint="eastAsia" w:ascii="楷体" w:hAnsi="楷体" w:eastAsia="楷体" w:cs="楷体"/>
          <w:sz w:val="30"/>
          <w:szCs w:val="30"/>
        </w:rPr>
        <w:t>附件1</w:t>
      </w:r>
    </w:p>
    <w:p>
      <w:pPr>
        <w:ind w:firstLine="600" w:firstLineChars="200"/>
        <w:rPr>
          <w:rFonts w:hint="eastAsia" w:ascii="楷体" w:hAnsi="楷体" w:eastAsia="楷体" w:cs="楷体"/>
          <w:sz w:val="30"/>
          <w:szCs w:val="30"/>
        </w:rPr>
      </w:pPr>
      <w:r>
        <w:rPr>
          <w:rFonts w:hint="eastAsia" w:ascii="楷体" w:hAnsi="楷体" w:eastAsia="楷体" w:cs="楷体"/>
          <w:sz w:val="30"/>
          <w:szCs w:val="30"/>
        </w:rPr>
        <w:t>2021年</w:t>
      </w:r>
      <w:r>
        <w:rPr>
          <w:rFonts w:hint="eastAsia" w:ascii="楷体" w:hAnsi="楷体" w:eastAsia="楷体" w:cs="楷体"/>
          <w:sz w:val="30"/>
          <w:szCs w:val="30"/>
          <w:lang w:eastAsia="zh-CN"/>
        </w:rPr>
        <w:t>社会</w:t>
      </w:r>
      <w:r>
        <w:rPr>
          <w:rFonts w:hint="eastAsia" w:ascii="楷体" w:hAnsi="楷体" w:eastAsia="楷体" w:cs="楷体"/>
          <w:sz w:val="30"/>
          <w:szCs w:val="30"/>
        </w:rPr>
        <w:t>检测(综合类)机构规范化评价得分等级表</w:t>
      </w:r>
    </w:p>
    <w:p>
      <w:pPr>
        <w:ind w:firstLine="1960" w:firstLineChars="700"/>
        <w:rPr>
          <w:rFonts w:hint="eastAsia" w:ascii="仿宋" w:hAnsi="仿宋" w:eastAsia="仿宋"/>
          <w:sz w:val="28"/>
          <w:szCs w:val="28"/>
        </w:rPr>
      </w:pPr>
      <w:r>
        <w:rPr>
          <w:rFonts w:hint="eastAsia" w:ascii="仿宋" w:hAnsi="仿宋" w:eastAsia="仿宋"/>
          <w:sz w:val="28"/>
          <w:szCs w:val="28"/>
        </w:rPr>
        <w:t>（得分相同机构排列不分先后）</w:t>
      </w:r>
    </w:p>
    <w:tbl>
      <w:tblPr>
        <w:tblStyle w:val="3"/>
        <w:tblW w:w="8522" w:type="dxa"/>
        <w:jc w:val="center"/>
        <w:tblInd w:w="0" w:type="dxa"/>
        <w:tblLayout w:type="fixed"/>
        <w:tblCellMar>
          <w:top w:w="0" w:type="dxa"/>
          <w:left w:w="108" w:type="dxa"/>
          <w:bottom w:w="0" w:type="dxa"/>
          <w:right w:w="108" w:type="dxa"/>
        </w:tblCellMar>
      </w:tblPr>
      <w:tblGrid>
        <w:gridCol w:w="1104"/>
        <w:gridCol w:w="4942"/>
        <w:gridCol w:w="1372"/>
        <w:gridCol w:w="1104"/>
      </w:tblGrid>
      <w:tr>
        <w:tblPrEx>
          <w:tblLayout w:type="fixed"/>
          <w:tblCellMar>
            <w:top w:w="0" w:type="dxa"/>
            <w:left w:w="108" w:type="dxa"/>
            <w:bottom w:w="0" w:type="dxa"/>
            <w:right w:w="108" w:type="dxa"/>
          </w:tblCellMar>
        </w:tblPrEx>
        <w:trPr>
          <w:trHeight w:val="403" w:hRule="atLeast"/>
          <w:tblHeader/>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bookmarkStart w:id="1" w:name="_GoBack"/>
            <w:bookmarkEnd w:id="1"/>
            <w:r>
              <w:rPr>
                <w:rFonts w:hint="eastAsia" w:ascii="仿宋" w:hAnsi="仿宋" w:eastAsia="仿宋" w:cs="宋体"/>
                <w:color w:val="000000"/>
                <w:kern w:val="0"/>
                <w:sz w:val="24"/>
                <w:szCs w:val="24"/>
              </w:rPr>
              <w:t>序号</w:t>
            </w:r>
          </w:p>
        </w:tc>
        <w:tc>
          <w:tcPr>
            <w:tcW w:w="49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137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得分</w:t>
            </w:r>
          </w:p>
        </w:tc>
        <w:tc>
          <w:tcPr>
            <w:tcW w:w="11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等级</w:t>
            </w:r>
          </w:p>
        </w:tc>
      </w:tr>
      <w:tr>
        <w:tblPrEx>
          <w:tblLayout w:type="fixed"/>
          <w:tblCellMar>
            <w:top w:w="0" w:type="dxa"/>
            <w:left w:w="108" w:type="dxa"/>
            <w:bottom w:w="0" w:type="dxa"/>
            <w:right w:w="108" w:type="dxa"/>
          </w:tblCellMar>
        </w:tblPrEx>
        <w:trPr>
          <w:trHeight w:val="3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49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浙江九安检测科技有限公司</w:t>
            </w:r>
          </w:p>
        </w:tc>
        <w:tc>
          <w:tcPr>
            <w:tcW w:w="137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777</w:t>
            </w:r>
          </w:p>
        </w:tc>
        <w:tc>
          <w:tcPr>
            <w:tcW w:w="1104" w:type="dxa"/>
            <w:vMerge w:val="restart"/>
            <w:tcBorders>
              <w:top w:val="single" w:color="auto" w:sz="4" w:space="0"/>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A级</w:t>
            </w: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浙江格临检测股份有限公司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772</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浙江交科环境科技有限公司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771</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浙江瑞启检测技术有限公司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767</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杭州广测环境技术有限公司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764</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浙江安联检测技术服务有限公司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浙江爱迪信检测技术有限公司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760</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浙江求实环境监测有限公司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757</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杭州普洛赛斯检测科技有限公司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757</w:t>
            </w:r>
          </w:p>
        </w:tc>
        <w:tc>
          <w:tcPr>
            <w:tcW w:w="11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杭州道宇检测技术有限公司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756</w:t>
            </w:r>
          </w:p>
        </w:tc>
        <w:tc>
          <w:tcPr>
            <w:tcW w:w="1104"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B级</w:t>
            </w: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浙江华圭环境检测有限公司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754</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杭州环析检测科技有限公司</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750</w:t>
            </w:r>
          </w:p>
        </w:tc>
        <w:tc>
          <w:tcPr>
            <w:tcW w:w="1104"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49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杭州谱尼检测科技有限公司</w:t>
            </w:r>
          </w:p>
        </w:tc>
        <w:tc>
          <w:tcPr>
            <w:tcW w:w="137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748</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杭州天量检测科技有限公司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杭州市环境检测科技有限公司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杭州北南检测科技有限公司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杭州质谱检测技术有限公司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杭州临安盈川检测科技有限公司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浙江多谱检测科技有限公司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734</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杭州中一检测研究院有限公司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733</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浙江杭康检测技术有限公司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731.5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杭州华测检测技术有限公司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728</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浙江鸿博环境检测有限公司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726</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浙江华标检测技术有限公司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杭州谱育检测有限公司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724</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杭州华集环境检测技术有限公司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720</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浙江盛远环境检测科技有限公司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710</w:t>
            </w:r>
          </w:p>
        </w:tc>
        <w:tc>
          <w:tcPr>
            <w:tcW w:w="11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浙江质环检测技术研究有限公司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709</w:t>
            </w:r>
          </w:p>
        </w:tc>
        <w:tc>
          <w:tcPr>
            <w:tcW w:w="1104"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C级</w:t>
            </w: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浙江永汇检测科技有限公司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701.25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杭州科谱环境检测技术有限公司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697</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浙江锐翱检测技术服务有限公司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690.25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杭州环明检测科技有限公司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679</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浙江瑞博思检测科技有限公司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675.5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杭州旭辐检测技术有限公司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674</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49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杭州环资检测科技有限公司</w:t>
            </w:r>
          </w:p>
        </w:tc>
        <w:tc>
          <w:tcPr>
            <w:tcW w:w="137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640</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杭州希科检测技术有限公司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631</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浙江翰达工程检测有限公司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631</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浙江绿荫环境检测科技有限公司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杭州统标检测科技有限公司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610</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浙江科鉴检测校准有限公司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603.5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杭州中环检测有限公司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582</w:t>
            </w:r>
          </w:p>
        </w:tc>
        <w:tc>
          <w:tcPr>
            <w:tcW w:w="11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杭州人安检测科技有限公司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574</w:t>
            </w:r>
          </w:p>
        </w:tc>
        <w:tc>
          <w:tcPr>
            <w:tcW w:w="1104"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D级</w:t>
            </w: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浙江昊天检测技术服务有限公司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569</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浙江实朴检测技术服务有限公司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545.5</w:t>
            </w:r>
          </w:p>
        </w:tc>
        <w:tc>
          <w:tcPr>
            <w:tcW w:w="11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11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4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杭州通标环境检测技术有限公司</w:t>
            </w:r>
          </w:p>
        </w:tc>
        <w:tc>
          <w:tcPr>
            <w:tcW w:w="137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540</w:t>
            </w:r>
          </w:p>
        </w:tc>
        <w:tc>
          <w:tcPr>
            <w:tcW w:w="11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bl>
    <w:p>
      <w:pPr>
        <w:pStyle w:val="2"/>
        <w:rPr>
          <w:rFonts w:ascii="Times New Roman" w:hAnsi="Times New Roman" w:eastAsia="仿宋"/>
          <w:b/>
          <w:bCs/>
          <w:color w:val="0D0D0D"/>
          <w:sz w:val="32"/>
          <w:szCs w:val="32"/>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2：</w:t>
      </w:r>
    </w:p>
    <w:p>
      <w:pPr>
        <w:jc w:val="center"/>
        <w:rPr>
          <w:rFonts w:hint="eastAsia" w:ascii="楷体" w:hAnsi="楷体" w:eastAsia="楷体" w:cs="楷体"/>
          <w:sz w:val="30"/>
          <w:szCs w:val="30"/>
        </w:rPr>
      </w:pPr>
      <w:r>
        <w:rPr>
          <w:rFonts w:hint="eastAsia" w:ascii="楷体" w:hAnsi="楷体" w:eastAsia="楷体" w:cs="楷体"/>
          <w:sz w:val="30"/>
          <w:szCs w:val="30"/>
        </w:rPr>
        <w:t>2021年</w:t>
      </w:r>
      <w:r>
        <w:rPr>
          <w:rFonts w:hint="eastAsia" w:ascii="楷体" w:hAnsi="楷体" w:eastAsia="楷体" w:cs="楷体"/>
          <w:sz w:val="30"/>
          <w:szCs w:val="30"/>
          <w:lang w:eastAsia="zh-CN"/>
        </w:rPr>
        <w:t>社会</w:t>
      </w:r>
      <w:r>
        <w:rPr>
          <w:rFonts w:hint="eastAsia" w:ascii="楷体" w:hAnsi="楷体" w:eastAsia="楷体" w:cs="楷体"/>
          <w:sz w:val="30"/>
          <w:szCs w:val="30"/>
        </w:rPr>
        <w:t>检测(专项类)机构规范化评价得分等级表</w:t>
      </w:r>
    </w:p>
    <w:tbl>
      <w:tblPr>
        <w:tblStyle w:val="3"/>
        <w:tblW w:w="8522" w:type="dxa"/>
        <w:jc w:val="center"/>
        <w:tblInd w:w="0" w:type="dxa"/>
        <w:tblLayout w:type="fixed"/>
        <w:tblCellMar>
          <w:top w:w="0" w:type="dxa"/>
          <w:left w:w="108" w:type="dxa"/>
          <w:bottom w:w="0" w:type="dxa"/>
          <w:right w:w="108" w:type="dxa"/>
        </w:tblCellMar>
      </w:tblPr>
      <w:tblGrid>
        <w:gridCol w:w="790"/>
        <w:gridCol w:w="5614"/>
        <w:gridCol w:w="1176"/>
        <w:gridCol w:w="942"/>
      </w:tblGrid>
      <w:tr>
        <w:tblPrEx>
          <w:tblLayout w:type="fixed"/>
          <w:tblCellMar>
            <w:top w:w="0" w:type="dxa"/>
            <w:left w:w="108" w:type="dxa"/>
            <w:bottom w:w="0" w:type="dxa"/>
            <w:right w:w="108" w:type="dxa"/>
          </w:tblCellMar>
        </w:tblPrEx>
        <w:trPr>
          <w:trHeight w:val="40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56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得分</w:t>
            </w:r>
          </w:p>
        </w:tc>
        <w:tc>
          <w:tcPr>
            <w:tcW w:w="94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等级</w:t>
            </w: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浙江省检验检疫科学技术研究院</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746</w:t>
            </w:r>
          </w:p>
        </w:tc>
        <w:tc>
          <w:tcPr>
            <w:tcW w:w="942"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A级</w:t>
            </w: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绿城农科检测技术有限公司</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725.5</w:t>
            </w:r>
          </w:p>
        </w:tc>
        <w:tc>
          <w:tcPr>
            <w:tcW w:w="942"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杭州嘉澍环境监测有限公司</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698</w:t>
            </w:r>
          </w:p>
        </w:tc>
        <w:tc>
          <w:tcPr>
            <w:tcW w:w="942"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B级</w:t>
            </w: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杭州市建筑工程质量检测中心有限公司</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662</w:t>
            </w:r>
          </w:p>
        </w:tc>
        <w:tc>
          <w:tcPr>
            <w:tcW w:w="942"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杭州千岛湖康美环境检测有限公司</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660.4</w:t>
            </w:r>
          </w:p>
        </w:tc>
        <w:tc>
          <w:tcPr>
            <w:tcW w:w="942"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中化地质矿山总局浙江地质勘查院</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658</w:t>
            </w:r>
          </w:p>
        </w:tc>
        <w:tc>
          <w:tcPr>
            <w:tcW w:w="942"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C级</w:t>
            </w: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杭州市水务集团有限公司监测分公司</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655</w:t>
            </w:r>
          </w:p>
        </w:tc>
        <w:tc>
          <w:tcPr>
            <w:tcW w:w="942"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60" w:hRule="atLeast"/>
          <w:jc w:val="center"/>
        </w:trPr>
        <w:tc>
          <w:tcPr>
            <w:tcW w:w="79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561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中煤浙江检测技术有限公司</w:t>
            </w:r>
          </w:p>
        </w:tc>
        <w:tc>
          <w:tcPr>
            <w:tcW w:w="11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584</w:t>
            </w:r>
          </w:p>
        </w:tc>
        <w:tc>
          <w:tcPr>
            <w:tcW w:w="94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D级</w:t>
            </w:r>
          </w:p>
        </w:tc>
      </w:tr>
    </w:tbl>
    <w:p>
      <w:pPr>
        <w:pStyle w:val="2"/>
        <w:ind w:left="0" w:leftChars="0" w:firstLine="0" w:firstLineChars="0"/>
      </w:pPr>
    </w:p>
    <w:p>
      <w:pPr>
        <w:pStyle w:val="2"/>
        <w:numPr>
          <w:ilvl w:val="0"/>
          <w:numId w:val="0"/>
        </w:numPr>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pPr>
        <w:pStyle w:val="2"/>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浙江省地质矿产研究所</w:t>
      </w:r>
      <w:r>
        <w:rPr>
          <w:rFonts w:hint="eastAsia" w:ascii="仿宋" w:hAnsi="仿宋" w:eastAsia="仿宋" w:cs="仿宋"/>
          <w:sz w:val="24"/>
          <w:szCs w:val="24"/>
          <w:highlight w:val="none"/>
          <w:lang w:val="en-US" w:eastAsia="zh-CN"/>
        </w:rPr>
        <w:t>参加了本次规范化评价，但其管理运行体系采用国土资源部自然资源系统评审体系且不涉及采样等环节，故不参与本次评价的等级评定；</w:t>
      </w:r>
    </w:p>
    <w:p>
      <w:pPr>
        <w:pStyle w:val="2"/>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杭州市特种设备检测研究院</w:t>
      </w:r>
      <w:r>
        <w:rPr>
          <w:rFonts w:hint="eastAsia" w:ascii="仿宋" w:hAnsi="仿宋" w:eastAsia="仿宋" w:cs="仿宋"/>
          <w:sz w:val="24"/>
          <w:szCs w:val="24"/>
          <w:highlight w:val="none"/>
          <w:lang w:val="en-US" w:eastAsia="zh-CN"/>
        </w:rPr>
        <w:t>参加了本次规范化评价，但其自2019年取得CMA资质以来，仅从事固定污染源（特种设备：锅炉）的尾气检测，未从事其他环保项目的采样及检测，故不参与本次评价的等级评定。</w:t>
      </w: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rPr>
          <w:rFonts w:hint="eastAsia" w:ascii="楷体" w:hAnsi="楷体" w:eastAsia="楷体" w:cs="楷体"/>
          <w:sz w:val="30"/>
          <w:szCs w:val="30"/>
          <w:lang w:val="en-US" w:eastAsia="zh-CN"/>
        </w:rPr>
      </w:pPr>
      <w:r>
        <w:rPr>
          <w:rFonts w:hint="eastAsia" w:ascii="楷体" w:hAnsi="楷体" w:eastAsia="楷体" w:cs="楷体"/>
          <w:sz w:val="30"/>
          <w:szCs w:val="30"/>
        </w:rPr>
        <w:t>附件</w:t>
      </w:r>
      <w:r>
        <w:rPr>
          <w:rFonts w:hint="eastAsia" w:ascii="楷体" w:hAnsi="楷体" w:eastAsia="楷体" w:cs="楷体"/>
          <w:sz w:val="30"/>
          <w:szCs w:val="30"/>
          <w:lang w:val="en-US" w:eastAsia="zh-CN"/>
        </w:rPr>
        <w:t>3：</w:t>
      </w:r>
    </w:p>
    <w:p>
      <w:pPr>
        <w:ind w:firstLine="900" w:firstLineChars="300"/>
        <w:rPr>
          <w:rFonts w:hint="eastAsia" w:ascii="楷体" w:hAnsi="楷体" w:eastAsia="楷体" w:cs="楷体"/>
          <w:sz w:val="30"/>
          <w:szCs w:val="30"/>
        </w:rPr>
      </w:pPr>
      <w:r>
        <w:rPr>
          <w:rFonts w:hint="eastAsia" w:ascii="楷体" w:hAnsi="楷体" w:eastAsia="楷体" w:cs="楷体"/>
          <w:sz w:val="30"/>
          <w:szCs w:val="30"/>
        </w:rPr>
        <w:t>2021年污染源在线运维机构规范化评价得分等级表</w:t>
      </w:r>
    </w:p>
    <w:p>
      <w:pPr>
        <w:pStyle w:val="2"/>
        <w:rPr>
          <w:rFonts w:hint="eastAsia"/>
        </w:rPr>
      </w:pPr>
    </w:p>
    <w:tbl>
      <w:tblPr>
        <w:tblStyle w:val="3"/>
        <w:tblW w:w="8522" w:type="dxa"/>
        <w:jc w:val="center"/>
        <w:tblInd w:w="0" w:type="dxa"/>
        <w:tblLayout w:type="fixed"/>
        <w:tblCellMar>
          <w:top w:w="0" w:type="dxa"/>
          <w:left w:w="108" w:type="dxa"/>
          <w:bottom w:w="0" w:type="dxa"/>
          <w:right w:w="108" w:type="dxa"/>
        </w:tblCellMar>
      </w:tblPr>
      <w:tblGrid>
        <w:gridCol w:w="1004"/>
        <w:gridCol w:w="5529"/>
        <w:gridCol w:w="985"/>
        <w:gridCol w:w="1004"/>
      </w:tblGrid>
      <w:tr>
        <w:tblPrEx>
          <w:tblLayout w:type="fixed"/>
          <w:tblCellMar>
            <w:top w:w="0" w:type="dxa"/>
            <w:left w:w="108" w:type="dxa"/>
            <w:bottom w:w="0" w:type="dxa"/>
            <w:right w:w="108" w:type="dxa"/>
          </w:tblCellMar>
        </w:tblPrEx>
        <w:trPr>
          <w:trHeight w:val="37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552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机构名称</w:t>
            </w:r>
          </w:p>
        </w:tc>
        <w:tc>
          <w:tcPr>
            <w:tcW w:w="9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得分</w:t>
            </w:r>
          </w:p>
        </w:tc>
        <w:tc>
          <w:tcPr>
            <w:tcW w:w="100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等级</w:t>
            </w: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浙江环茂自控科技有限公司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98.8</w:t>
            </w:r>
          </w:p>
        </w:tc>
        <w:tc>
          <w:tcPr>
            <w:tcW w:w="1004"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A级</w:t>
            </w: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杭州尊邦科技有限公司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10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杭州环欣环保工程有限公司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96.1</w:t>
            </w:r>
          </w:p>
        </w:tc>
        <w:tc>
          <w:tcPr>
            <w:tcW w:w="10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杭州英锐环保科技有限公司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95.7</w:t>
            </w:r>
          </w:p>
        </w:tc>
        <w:tc>
          <w:tcPr>
            <w:tcW w:w="1004"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B级</w:t>
            </w: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杭州环保成套工程有限公司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95.2</w:t>
            </w:r>
          </w:p>
        </w:tc>
        <w:tc>
          <w:tcPr>
            <w:tcW w:w="10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杭州檀盾自动化技术有限公司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95.1</w:t>
            </w:r>
          </w:p>
        </w:tc>
        <w:tc>
          <w:tcPr>
            <w:tcW w:w="10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浙江环石科技有限公司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94.7</w:t>
            </w:r>
          </w:p>
        </w:tc>
        <w:tc>
          <w:tcPr>
            <w:tcW w:w="10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杭州旭东升科技有限公司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94.1</w:t>
            </w:r>
          </w:p>
        </w:tc>
        <w:tc>
          <w:tcPr>
            <w:tcW w:w="10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杭州煜虹环境科技有限公司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93.3</w:t>
            </w:r>
          </w:p>
        </w:tc>
        <w:tc>
          <w:tcPr>
            <w:tcW w:w="10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杭州谱育科技发展有限公司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93.2</w:t>
            </w:r>
          </w:p>
        </w:tc>
        <w:tc>
          <w:tcPr>
            <w:tcW w:w="1004" w:type="dxa"/>
            <w:vMerge w:val="restart"/>
            <w:tcBorders>
              <w:top w:val="nil"/>
              <w:left w:val="nil"/>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C级</w:t>
            </w: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浙江赫能环境科技有限公司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92.5</w:t>
            </w:r>
          </w:p>
        </w:tc>
        <w:tc>
          <w:tcPr>
            <w:tcW w:w="1004" w:type="dxa"/>
            <w:vMerge w:val="continue"/>
            <w:tcBorders>
              <w:left w:val="nil"/>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杭州共源环保科技有限公司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92.4</w:t>
            </w:r>
          </w:p>
        </w:tc>
        <w:tc>
          <w:tcPr>
            <w:tcW w:w="1004"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3</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杭州富阳华赫环保科技有限公司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92.4</w:t>
            </w:r>
          </w:p>
        </w:tc>
        <w:tc>
          <w:tcPr>
            <w:tcW w:w="1004"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4</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浙江泽予科技发展有限公司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92.3</w:t>
            </w:r>
          </w:p>
        </w:tc>
        <w:tc>
          <w:tcPr>
            <w:tcW w:w="1004"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00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5</w:t>
            </w:r>
          </w:p>
        </w:tc>
        <w:tc>
          <w:tcPr>
            <w:tcW w:w="5529"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利晟（杭州）科技有限公司</w:t>
            </w:r>
          </w:p>
        </w:tc>
        <w:tc>
          <w:tcPr>
            <w:tcW w:w="98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92.1</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D级</w:t>
            </w:r>
          </w:p>
        </w:tc>
      </w:tr>
    </w:tbl>
    <w:p>
      <w:pPr>
        <w:rPr>
          <w:rFonts w:ascii="仿宋" w:hAnsi="仿宋" w:eastAsia="仿宋"/>
          <w:sz w:val="28"/>
          <w:szCs w:val="28"/>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ind w:left="0" w:leftChars="0"/>
        <w:rPr>
          <w:rFonts w:ascii="Times New Roman" w:hAnsi="Times New Roman" w:eastAsia="仿宋"/>
          <w:b/>
          <w:bCs/>
          <w:color w:val="0D0D0D"/>
          <w:sz w:val="32"/>
          <w:szCs w:val="32"/>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A33FE"/>
    <w:multiLevelType w:val="singleLevel"/>
    <w:tmpl w:val="78BA33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B33A1A"/>
    <w:rsid w:val="00192FEC"/>
    <w:rsid w:val="006C7D4A"/>
    <w:rsid w:val="03AC77D4"/>
    <w:rsid w:val="0BA26A69"/>
    <w:rsid w:val="0CB33A1A"/>
    <w:rsid w:val="0D8C1F0E"/>
    <w:rsid w:val="0DA96FDA"/>
    <w:rsid w:val="11651F70"/>
    <w:rsid w:val="129C7500"/>
    <w:rsid w:val="1BCC2D26"/>
    <w:rsid w:val="234A2FB9"/>
    <w:rsid w:val="26233424"/>
    <w:rsid w:val="2E391893"/>
    <w:rsid w:val="324D4DC7"/>
    <w:rsid w:val="65F11161"/>
    <w:rsid w:val="6F8F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1056</Characters>
  <Lines>8</Lines>
  <Paragraphs>2</Paragraphs>
  <TotalTime>0</TotalTime>
  <ScaleCrop>false</ScaleCrop>
  <LinksUpToDate>false</LinksUpToDate>
  <CharactersWithSpaces>1239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2022-01-17T05:37:00Z</dcterms:created>
  <dc:creator>Administrator</dc:creator>
  <cp:lastModifiedBy>蒋智伟</cp:lastModifiedBy>
  <cp:lastPrinted>2022-01-17T05:33:00Z</cp:lastPrinted>
  <dcterms:modified xsi:type="dcterms:W3CDTF">2022-01-26T05:16:09Z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1E8A6870D0B2468E8F2C21539B7B888E</vt:lpwstr>
  </property>
</Properties>
</file>